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Шаблон технического задания на поставку учебного робототехнического комплекса (робот-собака и манипулятор) для закупки по 44-ФЗ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Шаблон носит справочный характер. Значения характеристик приведены как пример и должны быть адаптированы под учебную задачу заказчика. Перед размещением закупки проверьте документ у контрактного управляющего или в контрактной службе, в том числе на соответствие каталогу товаров, работ, услуг (КТРУ), требованиям статьи 33 44-ФЗ и национальному режиму.</w:t>
      </w:r>
    </w:p>
    <w:p>
      <w:pPr>
        <w:pStyle w:val="Heading2"/>
      </w:pPr>
      <w:r>
        <w:t xml:space="preserve">1. Наименование и количество</w:t>
      </w:r>
    </w:p>
    <w:p>
      <w:pPr>
        <w:pStyle w:val="ListParagraph"/>
        <w:numPr>
          <w:ilvl w:val="0"/>
          <w:numId w:val="2"/>
        </w:numPr>
      </w:pPr>
      <w:r>
        <w:t xml:space="preserve">Объект закупки: поставка учебного робототехнического комплекса для лаборатории робототехники</w:t>
      </w:r>
    </w:p>
    <w:p>
      <w:pPr>
        <w:pStyle w:val="ListParagraph"/>
        <w:numPr>
          <w:ilvl w:val="0"/>
          <w:numId w:val="2"/>
        </w:numPr>
      </w:pPr>
      <w:r>
        <w:t xml:space="preserve">Позиция 1: четырёхногий шагающий мобильный робот с открытым программным интерфейсом - 1 шт.</w:t>
      </w:r>
    </w:p>
    <w:p>
      <w:pPr>
        <w:pStyle w:val="ListParagraph"/>
        <w:numPr>
          <w:ilvl w:val="0"/>
          <w:numId w:val="2"/>
        </w:numPr>
      </w:pPr>
      <w:r>
        <w:t xml:space="preserve">Позиция 2: учебный шестиосевой манипулятор с открытым программным интерфейсом - 1 шт.</w:t>
      </w:r>
    </w:p>
    <w:p>
      <w:pPr>
        <w:pStyle w:val="ListParagraph"/>
        <w:numPr>
          <w:ilvl w:val="0"/>
          <w:numId w:val="2"/>
        </w:numPr>
      </w:pPr>
      <w:r>
        <w:t xml:space="preserve">Код ОКПД2 и позиция КТРУ (при наличии) - определяются заказчиком</w:t>
      </w:r>
    </w:p>
    <w:p>
      <w:pPr>
        <w:pStyle w:val="ListParagraph"/>
        <w:numPr>
          <w:ilvl w:val="0"/>
          <w:numId w:val="2"/>
        </w:numPr>
      </w:pPr>
      <w:r>
        <w:t xml:space="preserve">Место поставки: [адрес заказчика]</w:t>
      </w:r>
    </w:p>
    <w:p>
      <w:pPr>
        <w:pStyle w:val="Heading2"/>
      </w:pPr>
      <w:r>
        <w:t xml:space="preserve">2. Назначение</w:t>
      </w:r>
    </w:p>
    <w:p>
      <w:pPr>
        <w:pStyle w:val="ListParagraph"/>
        <w:numPr>
          <w:ilvl w:val="0"/>
          <w:numId w:val="2"/>
        </w:numPr>
      </w:pPr>
      <w:r>
        <w:t xml:space="preserve">Проведение лабораторных и практических занятий по дисциплинам: робототехника, мехатроника, программирование роботов, техническое зрение, искусственный интеллект</w:t>
      </w:r>
    </w:p>
    <w:p>
      <w:pPr>
        <w:pStyle w:val="ListParagraph"/>
        <w:numPr>
          <w:ilvl w:val="0"/>
          <w:numId w:val="2"/>
        </w:numPr>
      </w:pPr>
      <w:r>
        <w:t xml:space="preserve">Выполнение курсовых, выпускных квалификационных и научно-исследовательских работ</w:t>
      </w:r>
    </w:p>
    <w:p>
      <w:pPr>
        <w:pStyle w:val="ListParagraph"/>
        <w:numPr>
          <w:ilvl w:val="0"/>
          <w:numId w:val="2"/>
        </w:numPr>
      </w:pPr>
      <w:r>
        <w:t xml:space="preserve">Разработка и проверка алгоритмов навигации, построения карт, восприятия, планирования траекторий и захвата объектов</w:t>
      </w:r>
    </w:p>
    <w:p>
      <w:pPr>
        <w:pStyle w:val="Heading2"/>
      </w:pPr>
      <w:r>
        <w:t xml:space="preserve">3. Функциональные и технические требования: мобильный шагающий робот</w:t>
      </w:r>
    </w:p>
    <w:p>
      <w:pPr>
        <w:pStyle w:val="ListParagraph"/>
        <w:numPr>
          <w:ilvl w:val="0"/>
          <w:numId w:val="2"/>
        </w:numPr>
      </w:pPr>
      <w:r>
        <w:t xml:space="preserve">Тип: четырёхногий шагающий робот с электрическими приводами</w:t>
      </w:r>
    </w:p>
    <w:p>
      <w:pPr>
        <w:pStyle w:val="ListParagraph"/>
        <w:numPr>
          <w:ilvl w:val="0"/>
          <w:numId w:val="2"/>
        </w:numPr>
      </w:pPr>
      <w:r>
        <w:t xml:space="preserve">Количество управляемых суставов: не менее 12</w:t>
      </w:r>
    </w:p>
    <w:p>
      <w:pPr>
        <w:pStyle w:val="ListParagraph"/>
        <w:numPr>
          <w:ilvl w:val="0"/>
          <w:numId w:val="2"/>
        </w:numPr>
      </w:pPr>
      <w:r>
        <w:t xml:space="preserve">Масса робота с аккумулятором: не более 20 кг</w:t>
      </w:r>
    </w:p>
    <w:p>
      <w:pPr>
        <w:pStyle w:val="ListParagraph"/>
        <w:numPr>
          <w:ilvl w:val="0"/>
          <w:numId w:val="2"/>
        </w:numPr>
      </w:pPr>
      <w:r>
        <w:t xml:space="preserve">Максимальная скорость передвижения: не менее 2 м/с</w:t>
      </w:r>
    </w:p>
    <w:p>
      <w:pPr>
        <w:pStyle w:val="ListParagraph"/>
        <w:numPr>
          <w:ilvl w:val="0"/>
          <w:numId w:val="2"/>
        </w:numPr>
      </w:pPr>
      <w:r>
        <w:t xml:space="preserve">Способность подниматься по лестнице и преодолевать препятствия высотой: не менее 15 см</w:t>
      </w:r>
    </w:p>
    <w:p>
      <w:pPr>
        <w:pStyle w:val="ListParagraph"/>
        <w:numPr>
          <w:ilvl w:val="0"/>
          <w:numId w:val="2"/>
        </w:numPr>
      </w:pPr>
      <w:r>
        <w:t xml:space="preserve">Полезная нагрузка: не менее 5 кг</w:t>
      </w:r>
    </w:p>
    <w:p>
      <w:pPr>
        <w:pStyle w:val="ListParagraph"/>
        <w:numPr>
          <w:ilvl w:val="0"/>
          <w:numId w:val="2"/>
        </w:numPr>
      </w:pPr>
      <w:r>
        <w:t xml:space="preserve">Время автономной работы от одного аккумулятора в режиме ходьбы: не менее 1,5 ч</w:t>
      </w:r>
    </w:p>
    <w:p>
      <w:pPr>
        <w:pStyle w:val="ListParagraph"/>
        <w:numPr>
          <w:ilvl w:val="0"/>
          <w:numId w:val="2"/>
        </w:numPr>
      </w:pPr>
      <w:r>
        <w:t xml:space="preserve">Лидар с горизонтальным полем обзора 360°: наличие</w:t>
      </w:r>
    </w:p>
    <w:p>
      <w:pPr>
        <w:pStyle w:val="ListParagraph"/>
        <w:numPr>
          <w:ilvl w:val="0"/>
          <w:numId w:val="2"/>
        </w:numPr>
      </w:pPr>
      <w:r>
        <w:t xml:space="preserve">Камера, установленная на корпусе робота: наличие</w:t>
      </w:r>
    </w:p>
    <w:p>
      <w:pPr>
        <w:pStyle w:val="ListParagraph"/>
        <w:numPr>
          <w:ilvl w:val="0"/>
          <w:numId w:val="2"/>
        </w:numPr>
      </w:pPr>
      <w:r>
        <w:t xml:space="preserve">Бортовой вычислительный модуль для запуска нейросетевых моделей, производительность: не менее 20 TOPS</w:t>
      </w:r>
    </w:p>
    <w:p>
      <w:pPr>
        <w:pStyle w:val="ListParagraph"/>
        <w:numPr>
          <w:ilvl w:val="0"/>
          <w:numId w:val="2"/>
        </w:numPr>
      </w:pPr>
      <w:r>
        <w:t xml:space="preserve">Беспроводная связь: Wi-Fi, Bluetooth</w:t>
      </w:r>
    </w:p>
    <w:p>
      <w:pPr>
        <w:pStyle w:val="ListParagraph"/>
        <w:numPr>
          <w:ilvl w:val="0"/>
          <w:numId w:val="2"/>
        </w:numPr>
      </w:pPr>
      <w:r>
        <w:t xml:space="preserve">Пульт дистанционного управления: наличие</w:t>
      </w:r>
    </w:p>
    <w:p>
      <w:pPr>
        <w:pStyle w:val="ListParagraph"/>
        <w:numPr>
          <w:ilvl w:val="0"/>
          <w:numId w:val="2"/>
        </w:numPr>
      </w:pPr>
      <w:r>
        <w:t xml:space="preserve">Возможность установки дополнительной полезной нагрузки (манипулятор, датчики) на штатные крепления: наличие</w:t>
      </w:r>
    </w:p>
    <w:p>
      <w:pPr>
        <w:pStyle w:val="Heading2"/>
      </w:pPr>
      <w:r>
        <w:t xml:space="preserve">4. Функциональные и технические требования: учебный манипулятор</w:t>
      </w:r>
    </w:p>
    <w:p>
      <w:pPr>
        <w:pStyle w:val="ListParagraph"/>
        <w:numPr>
          <w:ilvl w:val="0"/>
          <w:numId w:val="2"/>
        </w:numPr>
      </w:pPr>
      <w:r>
        <w:t xml:space="preserve">Количество осей (степеней подвижности) без учёта захвата: не менее 6</w:t>
      </w:r>
    </w:p>
    <w:p>
      <w:pPr>
        <w:pStyle w:val="ListParagraph"/>
        <w:numPr>
          <w:ilvl w:val="0"/>
          <w:numId w:val="2"/>
        </w:numPr>
      </w:pPr>
      <w:r>
        <w:t xml:space="preserve">Номинальная полезная нагрузка: не менее 1 кг</w:t>
      </w:r>
    </w:p>
    <w:p>
      <w:pPr>
        <w:pStyle w:val="ListParagraph"/>
        <w:numPr>
          <w:ilvl w:val="0"/>
          <w:numId w:val="2"/>
        </w:numPr>
      </w:pPr>
      <w:r>
        <w:t xml:space="preserve">Радиус рабочей зоны: не менее 500 мм</w:t>
      </w:r>
    </w:p>
    <w:p>
      <w:pPr>
        <w:pStyle w:val="ListParagraph"/>
        <w:numPr>
          <w:ilvl w:val="0"/>
          <w:numId w:val="2"/>
        </w:numPr>
      </w:pPr>
      <w:r>
        <w:t xml:space="preserve">Повторяемость позиционирования: не более ±0,5 мм</w:t>
      </w:r>
    </w:p>
    <w:p>
      <w:pPr>
        <w:pStyle w:val="ListParagraph"/>
        <w:numPr>
          <w:ilvl w:val="0"/>
          <w:numId w:val="2"/>
        </w:numPr>
      </w:pPr>
      <w:r>
        <w:t xml:space="preserve">Масса манипулятора: не более 10 кг</w:t>
      </w:r>
    </w:p>
    <w:p>
      <w:pPr>
        <w:pStyle w:val="ListParagraph"/>
        <w:numPr>
          <w:ilvl w:val="0"/>
          <w:numId w:val="2"/>
        </w:numPr>
      </w:pPr>
      <w:r>
        <w:t xml:space="preserve">Захватное устройство с электрическим приводом: наличие</w:t>
      </w:r>
    </w:p>
    <w:p>
      <w:pPr>
        <w:pStyle w:val="ListParagraph"/>
        <w:numPr>
          <w:ilvl w:val="0"/>
          <w:numId w:val="2"/>
        </w:numPr>
      </w:pPr>
      <w:r>
        <w:t xml:space="preserve">Режим обучения перемещением руки оператором (ручное ведение): наличие</w:t>
      </w:r>
    </w:p>
    <w:p>
      <w:pPr>
        <w:pStyle w:val="ListParagraph"/>
        <w:numPr>
          <w:ilvl w:val="0"/>
          <w:numId w:val="2"/>
        </w:numPr>
      </w:pPr>
      <w:r>
        <w:t xml:space="preserve">Интерфейс управления: CAN, Ethernet или USB (один из перечисленных или несколько)</w:t>
      </w:r>
    </w:p>
    <w:p>
      <w:pPr>
        <w:pStyle w:val="ListParagraph"/>
        <w:numPr>
          <w:ilvl w:val="0"/>
          <w:numId w:val="2"/>
        </w:numPr>
      </w:pPr>
      <w:r>
        <w:t xml:space="preserve">Напряжение питания: не более 48 В постоянного тока</w:t>
      </w:r>
    </w:p>
    <w:p>
      <w:pPr>
        <w:pStyle w:val="ListParagraph"/>
        <w:numPr>
          <w:ilvl w:val="0"/>
          <w:numId w:val="2"/>
        </w:numPr>
      </w:pPr>
      <w:r>
        <w:t xml:space="preserve">Возможность крепления к столу или мобильной платформе: наличие</w:t>
      </w:r>
    </w:p>
    <w:p>
      <w:pPr>
        <w:pStyle w:val="Heading2"/>
      </w:pPr>
      <w:r>
        <w:t xml:space="preserve">5. Комплектность</w:t>
      </w:r>
    </w:p>
    <w:p>
      <w:pPr>
        <w:pStyle w:val="ListParagraph"/>
        <w:numPr>
          <w:ilvl w:val="0"/>
          <w:numId w:val="2"/>
        </w:numPr>
      </w:pPr>
      <w:r>
        <w:t xml:space="preserve">Мобильный робот - 1 шт., аккумуляторная батарея - не менее 1 шт., зарядное устройство - 1 шт., пульт управления - 1 шт.</w:t>
      </w:r>
    </w:p>
    <w:p>
      <w:pPr>
        <w:pStyle w:val="ListParagraph"/>
        <w:numPr>
          <w:ilvl w:val="0"/>
          <w:numId w:val="2"/>
        </w:numPr>
      </w:pPr>
      <w:r>
        <w:t xml:space="preserve">Манипулятор с захватным устройством - 1 шт., блок питания - 1 шт., кабели подключения и крепёж - 1 компл.</w:t>
      </w:r>
    </w:p>
    <w:p>
      <w:pPr>
        <w:pStyle w:val="ListParagraph"/>
        <w:numPr>
          <w:ilvl w:val="0"/>
          <w:numId w:val="2"/>
        </w:numPr>
      </w:pPr>
      <w:r>
        <w:t xml:space="preserve">Эксплуатационная документация на русском языке - 1 компл. на каждую позицию</w:t>
      </w:r>
    </w:p>
    <w:p>
      <w:pPr>
        <w:pStyle w:val="ListParagraph"/>
        <w:numPr>
          <w:ilvl w:val="0"/>
          <w:numId w:val="2"/>
        </w:numPr>
      </w:pPr>
      <w:r>
        <w:t xml:space="preserve">Товар поставляется новым, не бывшим в эксплуатации, в заводской упаковке</w:t>
      </w:r>
    </w:p>
    <w:p>
      <w:pPr>
        <w:pStyle w:val="Heading2"/>
      </w:pPr>
      <w:r>
        <w:t xml:space="preserve">6. Программное обеспечение и документация</w:t>
      </w:r>
    </w:p>
    <w:p>
      <w:pPr>
        <w:pStyle w:val="ListParagraph"/>
        <w:numPr>
          <w:ilvl w:val="0"/>
          <w:numId w:val="2"/>
        </w:numPr>
      </w:pPr>
      <w:r>
        <w:t xml:space="preserve">Программный интерфейс (SDK) с доступом к высокоуровневому управлению движением и данным датчиков: наличие</w:t>
      </w:r>
    </w:p>
    <w:p>
      <w:pPr>
        <w:pStyle w:val="ListParagraph"/>
        <w:numPr>
          <w:ilvl w:val="0"/>
          <w:numId w:val="2"/>
        </w:numPr>
      </w:pPr>
      <w:r>
        <w:t xml:space="preserve">Доступ к низкоуровневому управлению приводами (положение, скорость, момент) для мобильного робота: наличие</w:t>
      </w:r>
    </w:p>
    <w:p>
      <w:pPr>
        <w:pStyle w:val="ListParagraph"/>
        <w:numPr>
          <w:ilvl w:val="0"/>
          <w:numId w:val="2"/>
        </w:numPr>
      </w:pPr>
      <w:r>
        <w:t xml:space="preserve">Поддержка языков программирования: Python и C++</w:t>
      </w:r>
    </w:p>
    <w:p>
      <w:pPr>
        <w:pStyle w:val="ListParagraph"/>
        <w:numPr>
          <w:ilvl w:val="0"/>
          <w:numId w:val="2"/>
        </w:numPr>
      </w:pPr>
      <w:r>
        <w:t xml:space="preserve">Поддержка ROS 2: наличие</w:t>
      </w:r>
    </w:p>
    <w:p>
      <w:pPr>
        <w:pStyle w:val="ListParagraph"/>
        <w:numPr>
          <w:ilvl w:val="0"/>
          <w:numId w:val="2"/>
        </w:numPr>
      </w:pPr>
      <w:r>
        <w:t xml:space="preserve">Примеры программ и описание программного интерфейса: наличие</w:t>
      </w:r>
    </w:p>
    <w:p>
      <w:pPr>
        <w:pStyle w:val="ListParagraph"/>
        <w:numPr>
          <w:ilvl w:val="0"/>
          <w:numId w:val="2"/>
        </w:numPr>
      </w:pPr>
      <w:r>
        <w:t xml:space="preserve">Модель робота для среды симуляции: наличие (желательно)</w:t>
      </w:r>
    </w:p>
    <w:p>
      <w:pPr>
        <w:pStyle w:val="ListParagraph"/>
        <w:numPr>
          <w:ilvl w:val="0"/>
          <w:numId w:val="2"/>
        </w:numPr>
      </w:pPr>
      <w:r>
        <w:t xml:space="preserve">Лицензия на использование ПО в учебных и исследовательских целях без ограничения срока</w:t>
      </w:r>
    </w:p>
    <w:p>
      <w:pPr>
        <w:pStyle w:val="ListParagraph"/>
        <w:numPr>
          <w:ilvl w:val="0"/>
          <w:numId w:val="2"/>
        </w:numPr>
      </w:pPr>
      <w:r>
        <w:t xml:space="preserve">Руководство по эксплуатации и паспорт изделия на русском языке</w:t>
      </w:r>
    </w:p>
    <w:p>
      <w:pPr>
        <w:pStyle w:val="Heading2"/>
      </w:pPr>
      <w:r>
        <w:t xml:space="preserve">7. Требования к поставке</w:t>
      </w:r>
    </w:p>
    <w:p>
      <w:pPr>
        <w:pStyle w:val="ListParagraph"/>
        <w:numPr>
          <w:ilvl w:val="0"/>
          <w:numId w:val="2"/>
        </w:numPr>
      </w:pPr>
      <w:r>
        <w:t xml:space="preserve">Срок поставки: не более [__] календарных дней с даты заключения контракта</w:t>
      </w:r>
    </w:p>
    <w:p>
      <w:pPr>
        <w:pStyle w:val="ListParagraph"/>
        <w:numPr>
          <w:ilvl w:val="0"/>
          <w:numId w:val="2"/>
        </w:numPr>
      </w:pPr>
      <w:r>
        <w:t xml:space="preserve">Доставка, погрузка и разгрузка до места поставки осуществляются силами и за счёт поставщика</w:t>
      </w:r>
    </w:p>
    <w:p>
      <w:pPr>
        <w:pStyle w:val="ListParagraph"/>
        <w:numPr>
          <w:ilvl w:val="0"/>
          <w:numId w:val="2"/>
        </w:numPr>
      </w:pPr>
      <w:r>
        <w:t xml:space="preserve">Пусконаладочные работы на месте поставки: проверка работоспособности, подключение к рабочему месту заказчика, установка программного обеспечения</w:t>
      </w:r>
    </w:p>
    <w:p>
      <w:pPr>
        <w:pStyle w:val="ListParagraph"/>
        <w:numPr>
          <w:ilvl w:val="0"/>
          <w:numId w:val="2"/>
        </w:numPr>
      </w:pPr>
      <w:r>
        <w:t xml:space="preserve">При поставке передаются: товарная накладная или УПД, паспорт изделия, руководство по эксплуатации, гарантийный талон, документы о подтверждении соответствия, если они предусмотрены законодательством для данного вида товара</w:t>
      </w:r>
    </w:p>
    <w:p>
      <w:pPr>
        <w:pStyle w:val="Heading2"/>
      </w:pPr>
      <w:r>
        <w:t xml:space="preserve">8. Гарантия и обслуживание</w:t>
      </w:r>
    </w:p>
    <w:p>
      <w:pPr>
        <w:pStyle w:val="ListParagraph"/>
        <w:numPr>
          <w:ilvl w:val="0"/>
          <w:numId w:val="2"/>
        </w:numPr>
      </w:pPr>
      <w:r>
        <w:t xml:space="preserve">Гарантийный срок: не менее 12 месяцев с даты подписания документа о приёмке</w:t>
      </w:r>
    </w:p>
    <w:p>
      <w:pPr>
        <w:pStyle w:val="ListParagraph"/>
        <w:numPr>
          <w:ilvl w:val="0"/>
          <w:numId w:val="2"/>
        </w:numPr>
      </w:pPr>
      <w:r>
        <w:t xml:space="preserve">Гарантийное обслуживание и ремонт на территории Российской Федерации</w:t>
      </w:r>
    </w:p>
    <w:p>
      <w:pPr>
        <w:pStyle w:val="ListParagraph"/>
        <w:numPr>
          <w:ilvl w:val="0"/>
          <w:numId w:val="2"/>
        </w:numPr>
      </w:pPr>
      <w:r>
        <w:t xml:space="preserve">Срок реагирования на обращение по гарантийному случаю: не более [__] рабочих дней</w:t>
      </w:r>
    </w:p>
    <w:p>
      <w:pPr>
        <w:pStyle w:val="ListParagraph"/>
        <w:numPr>
          <w:ilvl w:val="0"/>
          <w:numId w:val="2"/>
        </w:numPr>
      </w:pPr>
      <w:r>
        <w:t xml:space="preserve">Удалённая техническая консультация по эксплуатации и программному обеспечению в течение гарантийного срока</w:t>
      </w:r>
    </w:p>
    <w:p>
      <w:pPr>
        <w:pStyle w:val="ListParagraph"/>
        <w:numPr>
          <w:ilvl w:val="0"/>
          <w:numId w:val="2"/>
        </w:numPr>
      </w:pPr>
      <w:r>
        <w:t xml:space="preserve">Предоставление обновлений программного обеспечения, выпускаемых производителем, в течение гарантийного срока</w:t>
      </w:r>
    </w:p>
    <w:p>
      <w:pPr>
        <w:pStyle w:val="Heading2"/>
      </w:pPr>
      <w:r>
        <w:t xml:space="preserve">9. Обучение</w:t>
      </w:r>
    </w:p>
    <w:p>
      <w:pPr>
        <w:pStyle w:val="ListParagraph"/>
        <w:numPr>
          <w:ilvl w:val="0"/>
          <w:numId w:val="2"/>
        </w:numPr>
      </w:pPr>
      <w:r>
        <w:t xml:space="preserve">Обучение сотрудников заказчика работе с оборудованием: не менее [__] человек</w:t>
      </w:r>
    </w:p>
    <w:p>
      <w:pPr>
        <w:pStyle w:val="ListParagraph"/>
        <w:numPr>
          <w:ilvl w:val="0"/>
          <w:numId w:val="2"/>
        </w:numPr>
      </w:pPr>
      <w:r>
        <w:t xml:space="preserve">Продолжительность обучения: не менее [__] академических часов</w:t>
      </w:r>
    </w:p>
    <w:p>
      <w:pPr>
        <w:pStyle w:val="ListParagraph"/>
        <w:numPr>
          <w:ilvl w:val="0"/>
          <w:numId w:val="2"/>
        </w:numPr>
      </w:pPr>
      <w:r>
        <w:t xml:space="preserve">Программа обучения: техника безопасности, эксплуатация, подключение к рабочему месту, работа с SDK и ROS 2, запуск примеров</w:t>
      </w:r>
    </w:p>
    <w:p>
      <w:pPr>
        <w:pStyle w:val="ListParagraph"/>
        <w:numPr>
          <w:ilvl w:val="0"/>
          <w:numId w:val="2"/>
        </w:numPr>
      </w:pPr>
      <w:r>
        <w:t xml:space="preserve">Форма проведения: очно на месте поставки или дистанционно - по согласованию с заказчиком</w:t>
      </w:r>
    </w:p>
    <w:p>
      <w:pPr>
        <w:pStyle w:val="Heading2"/>
      </w:pPr>
      <w:r>
        <w:t xml:space="preserve">10. Приёмка</w:t>
      </w:r>
    </w:p>
    <w:p>
      <w:pPr>
        <w:pStyle w:val="ListParagraph"/>
        <w:numPr>
          <w:ilvl w:val="0"/>
          <w:numId w:val="2"/>
        </w:numPr>
      </w:pPr>
      <w:r>
        <w:t xml:space="preserve">Приёмка по количеству и комплектности - по документам поставки и спецификации</w:t>
      </w:r>
    </w:p>
    <w:p>
      <w:pPr>
        <w:pStyle w:val="ListParagraph"/>
        <w:numPr>
          <w:ilvl w:val="0"/>
          <w:numId w:val="2"/>
        </w:numPr>
      </w:pPr>
      <w:r>
        <w:t xml:space="preserve">Приёмка по качеству: внешний осмотр, проверка включения, передвижения робота, работы датчиков, управления манипулятором и захватом, подключения через SDK</w:t>
      </w:r>
    </w:p>
    <w:p>
      <w:pPr>
        <w:pStyle w:val="ListParagraph"/>
        <w:numPr>
          <w:ilvl w:val="0"/>
          <w:numId w:val="2"/>
        </w:numPr>
      </w:pPr>
      <w:r>
        <w:t xml:space="preserve">Проведение экспертизы результатов исполнения контракта силами заказчика или с привлечением экспертов</w:t>
      </w:r>
    </w:p>
    <w:p>
      <w:pPr>
        <w:pStyle w:val="ListParagraph"/>
        <w:numPr>
          <w:ilvl w:val="0"/>
          <w:numId w:val="2"/>
        </w:numPr>
      </w:pPr>
      <w:r>
        <w:t xml:space="preserve">Оформление структурированного документа о приёмке в единой информационной системе в сфере закупок</w:t>
      </w:r>
    </w:p>
    <w:p>
      <w:pPr>
        <w:pStyle w:val="ListParagraph"/>
        <w:numPr>
          <w:ilvl w:val="0"/>
          <w:numId w:val="2"/>
        </w:numPr>
      </w:pPr>
      <w:r>
        <w:t xml:space="preserve">При выявлении несоответствий поставщик устраняет их за свой счёт в срок, согласованный с заказчиком</w:t>
      </w:r>
    </w:p>
    <w:p>
      <w:pPr>
        <w:spacing w:before="300"/>
      </w:pPr>
      <w:r>
        <w:rPr>
          <w:color w:val="555555"/>
          <w:sz w:val="20"/>
          <w:szCs w:val="20"/>
        </w:rPr>
        <w:t xml:space="preserve">Подготовлено 100xbot.ru · +7 925 995-49-15 · info@100xbot.ru. Поможем адаптировать ТЗ под вашу задачу и подготовим коммерческое предложение для обоснования НМЦК.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2026-09-26T19:42:42.796Z</dcterms:created>
  <dcterms:modified xsi:type="dcterms:W3CDTF">2026-09-26T19:42:42.797Z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